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8"/>
        <w:gridCol w:w="6544"/>
        <w:gridCol w:w="391"/>
      </w:tblGrid>
      <w:tr w:rsidR="004A3B48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4A3B48" w:rsidRPr="00CD47BC" w:rsidRDefault="00410916" w:rsidP="008C662D">
            <w:pPr>
              <w:pStyle w:val="Heading1"/>
              <w:rPr>
                <w:lang w:val="nl-NL"/>
              </w:rPr>
            </w:pPr>
            <w:r w:rsidRPr="00CD47BC">
              <w:rPr>
                <w:lang w:val="nl-NL"/>
              </w:rPr>
              <w:t>Dr. Laurence van Hanswijck de Jonge</w:t>
            </w:r>
            <w:r w:rsidR="00C17B56" w:rsidRPr="00CD47BC">
              <w:rPr>
                <w:lang w:val="nl-NL"/>
              </w:rPr>
              <w:t xml:space="preserve">, </w:t>
            </w:r>
            <w:r w:rsidR="00C17B56" w:rsidRPr="00CD47BC">
              <w:rPr>
                <w:i/>
                <w:lang w:val="nl-NL"/>
              </w:rPr>
              <w:t>PhD</w:t>
            </w:r>
          </w:p>
        </w:tc>
      </w:tr>
      <w:tr w:rsidR="004A3B48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3905E7" w:rsidRPr="00CD47BC" w:rsidRDefault="003905E7" w:rsidP="00410916">
            <w:pPr>
              <w:pStyle w:val="ContactInfo"/>
              <w:rPr>
                <w:rFonts w:ascii="Times New Roman" w:hAnsi="Times New Roman"/>
              </w:rPr>
            </w:pPr>
          </w:p>
        </w:tc>
      </w:tr>
      <w:tr w:rsidR="00045536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045536" w:rsidRPr="00CD47BC" w:rsidRDefault="00045536" w:rsidP="00410916">
            <w:pPr>
              <w:pStyle w:val="ContactInfo"/>
              <w:rPr>
                <w:rFonts w:ascii="Times New Roman" w:hAnsi="Times New Roman"/>
              </w:rPr>
            </w:pPr>
          </w:p>
        </w:tc>
      </w:tr>
      <w:tr w:rsidR="009A6AB5" w:rsidRPr="00CD47BC" w:rsidTr="00045536">
        <w:tblPrEx>
          <w:jc w:val="left"/>
          <w:tblBorders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88" w:type="dxa"/>
            <w:shd w:val="pct5" w:color="000000" w:fill="FFFFFF"/>
          </w:tcPr>
          <w:p w:rsidR="00B56E51" w:rsidRPr="00CD47BC" w:rsidRDefault="00B56E51" w:rsidP="004A3B48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CD47BC">
              <w:rPr>
                <w:rFonts w:ascii="Times New Roman" w:hAnsi="Times New Roman"/>
                <w:sz w:val="20"/>
                <w:szCs w:val="20"/>
              </w:rPr>
              <w:t>Publications</w:t>
            </w:r>
            <w:r w:rsidR="00962C0C" w:rsidRPr="00CD47BC">
              <w:rPr>
                <w:rFonts w:ascii="Times New Roman" w:hAnsi="Times New Roman"/>
                <w:sz w:val="20"/>
                <w:szCs w:val="20"/>
              </w:rPr>
              <w:t xml:space="preserve"> and Grants</w:t>
            </w:r>
          </w:p>
        </w:tc>
        <w:tc>
          <w:tcPr>
            <w:tcW w:w="6935" w:type="dxa"/>
            <w:gridSpan w:val="2"/>
            <w:shd w:val="pct5" w:color="000000" w:fill="FFFFFF"/>
          </w:tcPr>
          <w:p w:rsidR="00DD1D4F" w:rsidRPr="001526D0" w:rsidRDefault="00DD1D4F" w:rsidP="00DD1D4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Waller, G., Meyer, C., &amp; Van Hanswijck de Jonge, L. (2001).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Early environmental influences on restrictive eating pathology among non-clinical females: The role of temperature at birth.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Eating Disorders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, 30, 204-209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Meyer, C.,  &amp; Waller, G. (2001).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The relationship between environmental temperature during pregnancy and eating attitudes during teenage years: A replication and extension study.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Eating Disorders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, 30, 413-420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Stettler, N., Kumanyiki, S., Støa Birketvedt, G. &amp; Waller, G. (2002).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Environmental Temperature during Gestation and Body Mass Index in Adolescence: New Etiologic Clues?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Obesity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26, 765-769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&amp; Waller, G. (2002).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The influences of Environmental Temperatures during Gestation and at Birth on Eating Characteristics in Adolescence: A Replication and Extension Study.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Appetite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38, 181-187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 &amp; Waller, G. (2003).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Perfectionism Levels in African-American and Caucasian Adolescents.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Journal of Personality and Individual Differences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34, 1447-1451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L., Waller, G.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Stettler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N. (2003).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Ethnicity modifies seasonal variations in birth weight and weight gain of infants.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Journal of Nutrition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133, 1415 – 1418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 &amp; Gormley, M. (2005).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Responses to affective smoking images: effects of current smoking status and degree of smoking addiction.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 xml:space="preserve">Addictive </w:t>
            </w:r>
            <w:proofErr w:type="spellStart"/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Behaviors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30, 1587-1591.</w:t>
            </w:r>
            <w:r w:rsid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:rsidR="00996D82" w:rsidRDefault="00996D82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996D82" w:rsidRPr="00996D82" w:rsidRDefault="00996D82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Cawich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S.,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Frankson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M. A., Hendriks, F.,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Iheonunekwu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N., van Hanswijck de Jonge, L.,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Hoeksema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G. (2009). Access surgery for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hemodialysis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in the Cayman Islands: Preliminary results of a vascular access service. The International Journal of Angiology, 18, 71-74. </w:t>
            </w:r>
          </w:p>
          <w:p w:rsidR="003E4E66" w:rsidRDefault="003E4E66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3E4E66" w:rsidRPr="003E4E66" w:rsidRDefault="003E4E66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Cawich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S. O., Jefferson, D., Smith, G., </w:t>
            </w: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Hoeksema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G., </w:t>
            </w: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Iheonunekwu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N., Hendriks, F.,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van Hanswijck de Jonge, L., Harding, H. E., Gordon-Strachan, G. (2010). Cost-benefit comparison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hemodialysis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access creation in a developing country and North American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centers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. International Journal of Angiology, 19, e25-e29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bookmarkStart w:id="0" w:name="_GoBack"/>
            <w:bookmarkEnd w:id="0"/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Langerock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N., van Hanswijck de Jonge, L., </w:t>
            </w:r>
            <w:proofErr w:type="spellStart"/>
            <w:r w:rsidR="008564F6">
              <w:rPr>
                <w:rFonts w:ascii="Times New Roman" w:hAnsi="Times New Roman"/>
                <w:sz w:val="16"/>
                <w:szCs w:val="16"/>
                <w:lang w:val="en-AU"/>
              </w:rPr>
              <w:t>Bickle</w:t>
            </w:r>
            <w:proofErr w:type="spellEnd"/>
            <w:r w:rsidR="008564F6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Graz, M., </w:t>
            </w:r>
            <w:proofErr w:type="spellStart"/>
            <w:r w:rsidR="008564F6">
              <w:rPr>
                <w:rFonts w:ascii="Times New Roman" w:hAnsi="Times New Roman"/>
                <w:sz w:val="16"/>
                <w:szCs w:val="16"/>
              </w:rPr>
              <w:t>Hüppi</w:t>
            </w:r>
            <w:proofErr w:type="spellEnd"/>
            <w:r w:rsidR="008564F6">
              <w:rPr>
                <w:rFonts w:ascii="Times New Roman" w:hAnsi="Times New Roman"/>
                <w:sz w:val="16"/>
                <w:szCs w:val="16"/>
              </w:rPr>
              <w:t xml:space="preserve">, P.,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, C.,</w:t>
            </w:r>
            <w:r w:rsidR="008564F6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Pr="00DD1D4F">
              <w:rPr>
                <w:rFonts w:ascii="Times New Roman" w:hAnsi="Times New Roman"/>
                <w:sz w:val="16"/>
                <w:szCs w:val="16"/>
              </w:rPr>
              <w:t xml:space="preserve">&amp; </w:t>
            </w:r>
            <w:proofErr w:type="spellStart"/>
            <w:r w:rsidR="008564F6">
              <w:rPr>
                <w:rStyle w:val="apple-style-span"/>
                <w:rFonts w:ascii="Times New Roman" w:hAnsi="Times New Roman"/>
                <w:sz w:val="16"/>
                <w:szCs w:val="16"/>
              </w:rPr>
              <w:t>Barisnikov</w:t>
            </w:r>
            <w:proofErr w:type="spellEnd"/>
            <w:r w:rsidR="008564F6">
              <w:rPr>
                <w:rStyle w:val="apple-style-span"/>
                <w:rFonts w:ascii="Times New Roman" w:hAnsi="Times New Roman"/>
                <w:sz w:val="16"/>
                <w:szCs w:val="16"/>
              </w:rPr>
              <w:t>, K. (2013</w:t>
            </w:r>
            <w:r w:rsidRPr="00DD1D4F">
              <w:rPr>
                <w:rStyle w:val="apple-style-span"/>
                <w:rFonts w:ascii="Times New Roman" w:hAnsi="Times New Roman"/>
                <w:sz w:val="16"/>
                <w:szCs w:val="16"/>
              </w:rPr>
              <w:t xml:space="preserve">). </w:t>
            </w:r>
            <w:r w:rsidRPr="00DD1D4F">
              <w:rPr>
                <w:rStyle w:val="apple-style-span"/>
                <w:rFonts w:ascii="Times New Roman" w:hAnsi="Times New Roman"/>
                <w:color w:val="000000"/>
                <w:sz w:val="16"/>
                <w:szCs w:val="16"/>
              </w:rPr>
              <w:t>Emotional reactivity and regulation in preterm children at 12 months</w:t>
            </w:r>
            <w:r w:rsidRPr="00DD1D4F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="008564F6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Infant Behaviour and Development, </w:t>
            </w:r>
            <w:r w:rsidR="008564F6" w:rsidRPr="008564F6">
              <w:rPr>
                <w:rFonts w:ascii="Times New Roman" w:hAnsi="Times New Roman"/>
                <w:sz w:val="16"/>
                <w:szCs w:val="16"/>
                <w:lang w:val="en-GB"/>
              </w:rPr>
              <w:t>36, 289-297.</w:t>
            </w:r>
          </w:p>
          <w:p w:rsidR="00DD1D4F" w:rsidRPr="00DD1D4F" w:rsidRDefault="00DD1D4F" w:rsidP="00DD1D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8564F6" w:rsidRPr="008564F6" w:rsidRDefault="008564F6" w:rsidP="00DD1D4F">
            <w:pPr>
              <w:widowControl w:val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Urben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S, van Hanswijck de Jonge, L.,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Borradori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Tolsa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C.,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Lazeyras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F.,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Barisnikov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K.,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Pozzo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R., 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Hüppi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, PS. Gestational Age and Gender Influences on Executive Control and its Related Neural Structures in Preterm Children at 6 Years of Age (accepted Sep 2015).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  <w:t xml:space="preserve">Child Neuropsychology, </w:t>
            </w:r>
          </w:p>
          <w:p w:rsidR="008564F6" w:rsidRDefault="008564F6" w:rsidP="00DD1D4F">
            <w:pPr>
              <w:widowControl w:val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</w:pPr>
          </w:p>
          <w:p w:rsidR="008564F6" w:rsidRPr="00DD1D4F" w:rsidRDefault="008564F6" w:rsidP="00856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1D4F">
              <w:rPr>
                <w:rFonts w:ascii="Times New Roman" w:hAnsi="Times New Roman"/>
                <w:sz w:val="16"/>
                <w:szCs w:val="16"/>
              </w:rPr>
              <w:t>Van Hanswijck De Jonge, L.</w:t>
            </w:r>
            <w:proofErr w:type="gramStart"/>
            <w:r w:rsidRPr="00DD1D4F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Urben</w:t>
            </w:r>
            <w:proofErr w:type="spellEnd"/>
            <w:proofErr w:type="gram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S.,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Fischi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 Gomez, E.,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Pizzo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R.,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Monnier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Barisnikov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B.,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Lazeyras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F.,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Forcada-Guex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C., &amp;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Hüppi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P.S. (in review).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Hyperactivity/inattention in Children Born Preterm and Small for Gestational Age: Implication of the Ventral Striatum.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Journal of Child Psychology and Psychiatry. </w:t>
            </w:r>
          </w:p>
          <w:p w:rsidR="008564F6" w:rsidRDefault="008564F6" w:rsidP="00DD1D4F">
            <w:pPr>
              <w:widowControl w:val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</w:pPr>
          </w:p>
          <w:p w:rsidR="00DD1D4F" w:rsidRDefault="00DD1D4F" w:rsidP="00DD1D4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D1D4F">
              <w:rPr>
                <w:rFonts w:ascii="Times New Roman" w:hAnsi="Times New Roman"/>
                <w:b/>
                <w:sz w:val="16"/>
                <w:szCs w:val="16"/>
              </w:rPr>
              <w:t>Ministry Reports</w:t>
            </w:r>
          </w:p>
          <w:p w:rsidR="00045536" w:rsidRPr="00DD1D4F" w:rsidRDefault="00045536" w:rsidP="00DD1D4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Tadros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T. (2008). Cayman Islands National Health Registry 2008: Assessing Health and Future Risk Patterns.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 xml:space="preserve">Pan American Health Organisation.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 &amp; Brown, H. (2008).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Childhood weight trends on Grand Cayman and Cayman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Brac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: 1987-2007.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Health Services Authority Ministry Report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.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L.,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Kadiyala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V.,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Pandit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J (2008).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Outcomes of cataract surgery in the Cayman Islands: creating a benchmark and report of associated co-morbid pathology.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 xml:space="preserve">Health Services Authority Ministry Report. </w:t>
            </w:r>
          </w:p>
          <w:p w:rsidR="00F30A2B" w:rsidRPr="00CD47BC" w:rsidRDefault="00DD1D4F" w:rsidP="00F30A2B">
            <w:pPr>
              <w:pStyle w:val="ListParagraph1"/>
              <w:spacing w:before="220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  <w:t xml:space="preserve">Published </w:t>
            </w:r>
            <w:r w:rsidR="007E5DA7" w:rsidRPr="00CD47BC"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  <w:t>Conference Abstracts</w:t>
            </w:r>
          </w:p>
          <w:p w:rsidR="00B56E51" w:rsidRPr="00CD47BC" w:rsidRDefault="00B56E51" w:rsidP="00F30A2B">
            <w:pPr>
              <w:pStyle w:val="ListParagraph1"/>
              <w:spacing w:before="220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</w:pP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de-CH"/>
              </w:rPr>
              <w:t xml:space="preserve">Van Hanswijck de Jonge, L., Stettler, N., Kumanyiki, S., Støa Birketvedt, G. &amp; Waller, G. (2001). 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Environmental Temperature during Gestation and Body Mass Index in Adolescence: New Etiologic Clues? </w:t>
            </w:r>
            <w:r w:rsidRPr="00CD47BC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Appetite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37(1/2)</w:t>
            </w:r>
          </w:p>
          <w:p w:rsidR="00B56E51" w:rsidRPr="00CD47BC" w:rsidRDefault="00B56E51" w:rsidP="003D2E0E">
            <w:pPr>
              <w:pStyle w:val="ListParagraph1"/>
              <w:spacing w:before="220" w:after="2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Waller, G. &amp; Stettler, N. (2002). 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Season of birth and postnatal weight gain during the first four months of life in African American and Caucasian babies. </w:t>
            </w:r>
            <w:r w:rsidRPr="00CD47BC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American Journal of Clinical Nutrition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75, 339S-439S</w:t>
            </w:r>
          </w:p>
          <w:p w:rsidR="00F97699" w:rsidRPr="0056502A" w:rsidRDefault="00F97699" w:rsidP="003D2E0E">
            <w:pPr>
              <w:pStyle w:val="ListParagraph1"/>
              <w:spacing w:before="220" w:after="22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</w:pPr>
            <w:r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lastRenderedPageBreak/>
              <w:t xml:space="preserve">Grant </w:t>
            </w:r>
            <w:r w:rsidR="0056502A"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t>A</w:t>
            </w:r>
            <w:r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t>pplications</w:t>
            </w:r>
          </w:p>
          <w:p w:rsidR="008C53E2" w:rsidRPr="00CD47BC" w:rsidRDefault="008C53E2" w:rsidP="0056502A">
            <w:pPr>
              <w:pStyle w:val="Heading1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Development of Emotion and Cognition in Preterm Born Cohorts: </w:t>
            </w:r>
            <w:proofErr w:type="spellStart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>Neurostructural</w:t>
            </w:r>
            <w:proofErr w:type="spellEnd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and </w:t>
            </w:r>
            <w:proofErr w:type="spellStart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>Neurofunctional</w:t>
            </w:r>
            <w:proofErr w:type="spellEnd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Correlates from Birth to Early Adolescence. </w:t>
            </w:r>
            <w:r w:rsidRPr="00CD47BC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Submitted to the Swiss National Foundation, October 2010. </w:t>
            </w:r>
            <w:r w:rsidRPr="00CD47BC">
              <w:rPr>
                <w:rFonts w:ascii="Times New Roman" w:hAnsi="Times New Roman"/>
                <w:iCs/>
                <w:sz w:val="16"/>
                <w:szCs w:val="16"/>
              </w:rPr>
              <w:t xml:space="preserve">PI: </w:t>
            </w:r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 xml:space="preserve">Prof. Petra </w:t>
            </w:r>
            <w:proofErr w:type="spellStart"/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>Hüppi</w:t>
            </w:r>
            <w:proofErr w:type="spellEnd"/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>, MD.</w:t>
            </w:r>
            <w:r w:rsidR="00DD1D4F">
              <w:rPr>
                <w:rFonts w:ascii="Times New Roman" w:hAnsi="Times New Roman"/>
                <w:bCs/>
                <w:sz w:val="16"/>
                <w:szCs w:val="16"/>
              </w:rPr>
              <w:t xml:space="preserve"> (Accepted April 2011)</w:t>
            </w:r>
          </w:p>
          <w:p w:rsidR="008C53E2" w:rsidRPr="00DD1D4F" w:rsidRDefault="008C53E2" w:rsidP="0056502A">
            <w:pPr>
              <w:pStyle w:val="Heading1"/>
              <w:spacing w:before="180" w:after="75" w:line="240" w:lineRule="auto"/>
              <w:ind w:right="7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Neural Basis of Emotional Processing, Regulation and Social Development in Preterm Born Infants. Submitted to the Swiss National Foundation, Marie Heim-</w:t>
            </w:r>
            <w:proofErr w:type="spellStart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Vögtlin</w:t>
            </w:r>
            <w:proofErr w:type="spellEnd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Programme</w:t>
            </w:r>
            <w:proofErr w:type="spellEnd"/>
            <w:r w:rsidR="00A74BEC" w:rsidRPr="00CD47BC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 xml:space="preserve">, </w:t>
            </w: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September 2010.</w:t>
            </w:r>
            <w:r w:rsidR="00A74BEC" w:rsidRPr="00CD47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4BEC" w:rsidRPr="00CD47BC">
              <w:rPr>
                <w:rStyle w:val="hp"/>
                <w:rFonts w:ascii="Times New Roman" w:hAnsi="Times New Roman"/>
                <w:b w:val="0"/>
                <w:i/>
                <w:color w:val="000000"/>
                <w:sz w:val="16"/>
                <w:szCs w:val="16"/>
              </w:rPr>
              <w:t>PMPDP3</w:t>
            </w:r>
            <w:r w:rsidR="00A74BEC" w:rsidRPr="00CD47BC">
              <w:rPr>
                <w:rStyle w:val="hp"/>
                <w:rFonts w:ascii="Times New Roman" w:hAnsi="Times New Roman"/>
                <w:color w:val="000000"/>
                <w:sz w:val="16"/>
                <w:szCs w:val="16"/>
              </w:rPr>
              <w:t>_</w:t>
            </w:r>
            <w:r w:rsidR="00A74BEC" w:rsidRPr="00CD47BC">
              <w:rPr>
                <w:rStyle w:val="hp"/>
                <w:rFonts w:ascii="Times New Roman" w:hAnsi="Times New Roman"/>
                <w:b w:val="0"/>
                <w:i/>
                <w:color w:val="000000"/>
                <w:sz w:val="16"/>
                <w:szCs w:val="16"/>
              </w:rPr>
              <w:t>134047.</w:t>
            </w:r>
            <w:r w:rsidR="00A74BEC" w:rsidRPr="00CD47BC">
              <w:rPr>
                <w:rStyle w:val="hp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D1D4F">
              <w:rPr>
                <w:rFonts w:ascii="Times New Roman" w:hAnsi="Times New Roman"/>
                <w:sz w:val="16"/>
                <w:szCs w:val="16"/>
              </w:rPr>
              <w:t>PI: L. van Hanswijck de Jonge, PhD</w:t>
            </w:r>
            <w:r w:rsidR="00DD1D4F">
              <w:rPr>
                <w:rFonts w:ascii="Times New Roman" w:hAnsi="Times New Roman"/>
                <w:sz w:val="16"/>
                <w:szCs w:val="16"/>
              </w:rPr>
              <w:t xml:space="preserve"> (Rejected)</w:t>
            </w:r>
          </w:p>
          <w:p w:rsidR="008C53E2" w:rsidRPr="00CD47BC" w:rsidRDefault="008C53E2" w:rsidP="008C5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7699" w:rsidRPr="00DD1D4F" w:rsidRDefault="008C53E2" w:rsidP="008C53E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D47BC">
              <w:rPr>
                <w:rFonts w:ascii="Times New Roman" w:hAnsi="Times New Roman"/>
                <w:sz w:val="16"/>
                <w:szCs w:val="16"/>
              </w:rPr>
              <w:t xml:space="preserve">Neural Basis of Emotional Processing, Regulation and Social Development in Preterm Born Infants. Submitted to the Swiss Center for Neuroscience, September 2010. </w:t>
            </w:r>
            <w:r w:rsidRPr="00CD47BC">
              <w:rPr>
                <w:rFonts w:ascii="Times New Roman" w:hAnsi="Times New Roman"/>
                <w:b/>
                <w:sz w:val="16"/>
                <w:szCs w:val="16"/>
              </w:rPr>
              <w:t>PI: L. van Hanswijck de Jonge, PhD</w:t>
            </w:r>
            <w:r w:rsidR="00DD1D4F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DD1D4F" w:rsidRPr="00DD1D4F">
              <w:rPr>
                <w:rFonts w:ascii="Times New Roman" w:hAnsi="Times New Roman"/>
                <w:b/>
                <w:sz w:val="16"/>
                <w:szCs w:val="16"/>
              </w:rPr>
              <w:t>(Accepted)</w:t>
            </w:r>
          </w:p>
          <w:p w:rsidR="008C53E2" w:rsidRPr="00CD47BC" w:rsidRDefault="008C53E2" w:rsidP="008C5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3B48" w:rsidRPr="0056502A" w:rsidRDefault="004A3B48" w:rsidP="00F30A2B">
      <w:pPr>
        <w:rPr>
          <w:rFonts w:ascii="Times New Roman" w:hAnsi="Times New Roman"/>
        </w:rPr>
      </w:pPr>
    </w:p>
    <w:sectPr w:rsidR="004A3B48" w:rsidRPr="0056502A" w:rsidSect="00783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FA" w:rsidRDefault="00241BFA">
      <w:r>
        <w:separator/>
      </w:r>
    </w:p>
  </w:endnote>
  <w:endnote w:type="continuationSeparator" w:id="0">
    <w:p w:rsidR="00241BFA" w:rsidRDefault="0024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FA" w:rsidRDefault="00241BFA">
      <w:r>
        <w:separator/>
      </w:r>
    </w:p>
  </w:footnote>
  <w:footnote w:type="continuationSeparator" w:id="0">
    <w:p w:rsidR="00241BFA" w:rsidRDefault="0024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596"/>
    <w:multiLevelType w:val="hybridMultilevel"/>
    <w:tmpl w:val="FD1CE1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F7D"/>
    <w:multiLevelType w:val="hybridMultilevel"/>
    <w:tmpl w:val="54DAC86A"/>
    <w:lvl w:ilvl="0" w:tplc="1E7A8E8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255455"/>
    <w:multiLevelType w:val="hybridMultilevel"/>
    <w:tmpl w:val="6E84304E"/>
    <w:lvl w:ilvl="0" w:tplc="9E829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D3A"/>
    <w:multiLevelType w:val="hybridMultilevel"/>
    <w:tmpl w:val="E19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64E9"/>
    <w:multiLevelType w:val="hybridMultilevel"/>
    <w:tmpl w:val="20C803B0"/>
    <w:lvl w:ilvl="0" w:tplc="C4801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7DA4"/>
    <w:multiLevelType w:val="hybridMultilevel"/>
    <w:tmpl w:val="945E7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28DB"/>
    <w:multiLevelType w:val="hybridMultilevel"/>
    <w:tmpl w:val="11A67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1BD4"/>
    <w:multiLevelType w:val="hybridMultilevel"/>
    <w:tmpl w:val="57B40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67C"/>
    <w:multiLevelType w:val="hybridMultilevel"/>
    <w:tmpl w:val="2DCC3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551"/>
    <w:multiLevelType w:val="hybridMultilevel"/>
    <w:tmpl w:val="1E0059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E94754"/>
    <w:multiLevelType w:val="hybridMultilevel"/>
    <w:tmpl w:val="9E38502C"/>
    <w:lvl w:ilvl="0" w:tplc="27902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 w15:restartNumberingAfterBreak="0">
    <w:nsid w:val="67DF27E1"/>
    <w:multiLevelType w:val="hybridMultilevel"/>
    <w:tmpl w:val="F9781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720C"/>
    <w:multiLevelType w:val="hybridMultilevel"/>
    <w:tmpl w:val="13EA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48CD"/>
    <w:multiLevelType w:val="hybridMultilevel"/>
    <w:tmpl w:val="5F022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05CB1"/>
    <w:multiLevelType w:val="hybridMultilevel"/>
    <w:tmpl w:val="5BC86DFC"/>
    <w:lvl w:ilvl="0" w:tplc="5FD4B8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3A358B"/>
    <w:multiLevelType w:val="hybridMultilevel"/>
    <w:tmpl w:val="90BE55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C674B"/>
    <w:multiLevelType w:val="hybridMultilevel"/>
    <w:tmpl w:val="BE1FC7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0C6E80"/>
    <w:multiLevelType w:val="hybridMultilevel"/>
    <w:tmpl w:val="CB68F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0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6"/>
    <w:rsid w:val="000123B2"/>
    <w:rsid w:val="00025E86"/>
    <w:rsid w:val="00036C5A"/>
    <w:rsid w:val="00045536"/>
    <w:rsid w:val="00055A68"/>
    <w:rsid w:val="00056282"/>
    <w:rsid w:val="000721D8"/>
    <w:rsid w:val="00093DBD"/>
    <w:rsid w:val="000C7E8A"/>
    <w:rsid w:val="000D147C"/>
    <w:rsid w:val="000D7287"/>
    <w:rsid w:val="000E112F"/>
    <w:rsid w:val="000F0096"/>
    <w:rsid w:val="00142CF7"/>
    <w:rsid w:val="00151028"/>
    <w:rsid w:val="00156D1A"/>
    <w:rsid w:val="00160287"/>
    <w:rsid w:val="0017617B"/>
    <w:rsid w:val="001B26D0"/>
    <w:rsid w:val="001E3A43"/>
    <w:rsid w:val="001F264B"/>
    <w:rsid w:val="001F38DC"/>
    <w:rsid w:val="00212E84"/>
    <w:rsid w:val="002404F0"/>
    <w:rsid w:val="00240619"/>
    <w:rsid w:val="00241BFA"/>
    <w:rsid w:val="00246280"/>
    <w:rsid w:val="00256088"/>
    <w:rsid w:val="00264F8D"/>
    <w:rsid w:val="00276AEA"/>
    <w:rsid w:val="0027753B"/>
    <w:rsid w:val="002A5EDB"/>
    <w:rsid w:val="002C4771"/>
    <w:rsid w:val="00314321"/>
    <w:rsid w:val="00322153"/>
    <w:rsid w:val="00330C51"/>
    <w:rsid w:val="00352ED5"/>
    <w:rsid w:val="00363CBA"/>
    <w:rsid w:val="00373061"/>
    <w:rsid w:val="003905E7"/>
    <w:rsid w:val="003962CA"/>
    <w:rsid w:val="003B00C2"/>
    <w:rsid w:val="003D2E0E"/>
    <w:rsid w:val="003E3C91"/>
    <w:rsid w:val="003E4E66"/>
    <w:rsid w:val="003F1F24"/>
    <w:rsid w:val="00402E3B"/>
    <w:rsid w:val="00410916"/>
    <w:rsid w:val="00413D58"/>
    <w:rsid w:val="00435C9D"/>
    <w:rsid w:val="00453387"/>
    <w:rsid w:val="0046348B"/>
    <w:rsid w:val="00465740"/>
    <w:rsid w:val="00475D62"/>
    <w:rsid w:val="004A3B48"/>
    <w:rsid w:val="004E75D1"/>
    <w:rsid w:val="0050787B"/>
    <w:rsid w:val="00520FE0"/>
    <w:rsid w:val="00526E78"/>
    <w:rsid w:val="0053123B"/>
    <w:rsid w:val="00537F74"/>
    <w:rsid w:val="0056502A"/>
    <w:rsid w:val="0057234B"/>
    <w:rsid w:val="00573C33"/>
    <w:rsid w:val="005A085C"/>
    <w:rsid w:val="005A620A"/>
    <w:rsid w:val="005C6007"/>
    <w:rsid w:val="005F6652"/>
    <w:rsid w:val="00613A30"/>
    <w:rsid w:val="0064452C"/>
    <w:rsid w:val="006469F6"/>
    <w:rsid w:val="00661729"/>
    <w:rsid w:val="006A6DEF"/>
    <w:rsid w:val="006A7305"/>
    <w:rsid w:val="006B08CD"/>
    <w:rsid w:val="006B2A6A"/>
    <w:rsid w:val="006C4C7C"/>
    <w:rsid w:val="006E04C5"/>
    <w:rsid w:val="006E5B3B"/>
    <w:rsid w:val="006F0519"/>
    <w:rsid w:val="006F7255"/>
    <w:rsid w:val="00710DA5"/>
    <w:rsid w:val="0073024E"/>
    <w:rsid w:val="00730D76"/>
    <w:rsid w:val="00755540"/>
    <w:rsid w:val="007721BD"/>
    <w:rsid w:val="00783B49"/>
    <w:rsid w:val="00783C23"/>
    <w:rsid w:val="00790EC9"/>
    <w:rsid w:val="007D4534"/>
    <w:rsid w:val="007E03CC"/>
    <w:rsid w:val="007E0552"/>
    <w:rsid w:val="007E3AB8"/>
    <w:rsid w:val="007E53D6"/>
    <w:rsid w:val="007E5DA7"/>
    <w:rsid w:val="008021EC"/>
    <w:rsid w:val="0080705E"/>
    <w:rsid w:val="00810432"/>
    <w:rsid w:val="008564F6"/>
    <w:rsid w:val="0087269A"/>
    <w:rsid w:val="00881DE3"/>
    <w:rsid w:val="008A132F"/>
    <w:rsid w:val="008A33AA"/>
    <w:rsid w:val="008A6A4B"/>
    <w:rsid w:val="008C4184"/>
    <w:rsid w:val="008C53E2"/>
    <w:rsid w:val="008C662D"/>
    <w:rsid w:val="008E5271"/>
    <w:rsid w:val="008F5472"/>
    <w:rsid w:val="008F73D8"/>
    <w:rsid w:val="00933584"/>
    <w:rsid w:val="00941E45"/>
    <w:rsid w:val="00946C07"/>
    <w:rsid w:val="00962C0C"/>
    <w:rsid w:val="00965914"/>
    <w:rsid w:val="00966EC1"/>
    <w:rsid w:val="00973CA9"/>
    <w:rsid w:val="00996D82"/>
    <w:rsid w:val="009A6AB5"/>
    <w:rsid w:val="009C22AF"/>
    <w:rsid w:val="009E7987"/>
    <w:rsid w:val="009F21EC"/>
    <w:rsid w:val="00A05E27"/>
    <w:rsid w:val="00A63526"/>
    <w:rsid w:val="00A74BEC"/>
    <w:rsid w:val="00A8529D"/>
    <w:rsid w:val="00A86EA1"/>
    <w:rsid w:val="00A925D6"/>
    <w:rsid w:val="00A96F0C"/>
    <w:rsid w:val="00AB0317"/>
    <w:rsid w:val="00AC745E"/>
    <w:rsid w:val="00AE315F"/>
    <w:rsid w:val="00B06070"/>
    <w:rsid w:val="00B34794"/>
    <w:rsid w:val="00B36885"/>
    <w:rsid w:val="00B4271C"/>
    <w:rsid w:val="00B56E51"/>
    <w:rsid w:val="00B67ACE"/>
    <w:rsid w:val="00B819E1"/>
    <w:rsid w:val="00B953BC"/>
    <w:rsid w:val="00BF2DEB"/>
    <w:rsid w:val="00C17B56"/>
    <w:rsid w:val="00C2500C"/>
    <w:rsid w:val="00C51F3C"/>
    <w:rsid w:val="00C707D7"/>
    <w:rsid w:val="00C719DE"/>
    <w:rsid w:val="00C75DD0"/>
    <w:rsid w:val="00C846A7"/>
    <w:rsid w:val="00C900DE"/>
    <w:rsid w:val="00C9052E"/>
    <w:rsid w:val="00C91A3B"/>
    <w:rsid w:val="00CA62EA"/>
    <w:rsid w:val="00CB09D7"/>
    <w:rsid w:val="00CD47BC"/>
    <w:rsid w:val="00CE5972"/>
    <w:rsid w:val="00CF46CB"/>
    <w:rsid w:val="00D2329D"/>
    <w:rsid w:val="00D66292"/>
    <w:rsid w:val="00D90859"/>
    <w:rsid w:val="00D93576"/>
    <w:rsid w:val="00DA6B02"/>
    <w:rsid w:val="00DD1D4F"/>
    <w:rsid w:val="00E01124"/>
    <w:rsid w:val="00E04908"/>
    <w:rsid w:val="00E14C8F"/>
    <w:rsid w:val="00E405D2"/>
    <w:rsid w:val="00E821B3"/>
    <w:rsid w:val="00E82D00"/>
    <w:rsid w:val="00E8333B"/>
    <w:rsid w:val="00EA23FE"/>
    <w:rsid w:val="00EB41B4"/>
    <w:rsid w:val="00EE43DD"/>
    <w:rsid w:val="00EF12D5"/>
    <w:rsid w:val="00F113BC"/>
    <w:rsid w:val="00F1379C"/>
    <w:rsid w:val="00F30A2B"/>
    <w:rsid w:val="00F43EE7"/>
    <w:rsid w:val="00F60E23"/>
    <w:rsid w:val="00F97699"/>
    <w:rsid w:val="00FB2C28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B785-4BC2-4DA3-BCC0-9E43BA4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3905E7"/>
    <w:pPr>
      <w:tabs>
        <w:tab w:val="right" w:pos="6480"/>
      </w:tabs>
      <w:spacing w:before="220"/>
      <w:contextualSpacing/>
    </w:pPr>
    <w:rPr>
      <w:rFonts w:ascii="Century Gothic" w:hAnsi="Century Gothic" w:cs="Arial"/>
      <w:b/>
      <w:sz w:val="16"/>
      <w:szCs w:val="16"/>
      <w:lang w:val="en-GB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ListParagraph1">
    <w:name w:val="List Paragraph1"/>
    <w:basedOn w:val="Normal"/>
    <w:uiPriority w:val="34"/>
    <w:qFormat/>
    <w:rsid w:val="00036C5A"/>
    <w:pPr>
      <w:ind w:left="720"/>
      <w:contextualSpacing/>
    </w:pPr>
  </w:style>
  <w:style w:type="character" w:styleId="Emphasis">
    <w:name w:val="Emphasis"/>
    <w:uiPriority w:val="20"/>
    <w:qFormat/>
    <w:rsid w:val="00036C5A"/>
    <w:rPr>
      <w:i/>
      <w:iCs/>
    </w:rPr>
  </w:style>
  <w:style w:type="table" w:styleId="TableContemporary">
    <w:name w:val="Table Contemporary"/>
    <w:basedOn w:val="TableNormal"/>
    <w:rsid w:val="00B56E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3905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3905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05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905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905E7"/>
    <w:rPr>
      <w:color w:val="0000FF"/>
      <w:u w:val="single"/>
    </w:rPr>
  </w:style>
  <w:style w:type="table" w:styleId="Table3Deffects3">
    <w:name w:val="Table 3D effects 3"/>
    <w:basedOn w:val="TableNormal"/>
    <w:rsid w:val="00E04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traitcorpsdetexte1">
    <w:name w:val="Retrait corps de texte1"/>
    <w:basedOn w:val="Normal"/>
    <w:next w:val="Normal"/>
    <w:uiPriority w:val="99"/>
    <w:rsid w:val="005F6652"/>
    <w:pPr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apple-style-span">
    <w:name w:val="apple-style-span"/>
    <w:basedOn w:val="DefaultParagraphFont"/>
    <w:rsid w:val="00D93576"/>
  </w:style>
  <w:style w:type="character" w:customStyle="1" w:styleId="hp">
    <w:name w:val="hp"/>
    <w:basedOn w:val="DefaultParagraphFont"/>
    <w:rsid w:val="00A74BEC"/>
  </w:style>
  <w:style w:type="paragraph" w:styleId="BalloonText">
    <w:name w:val="Balloon Text"/>
    <w:basedOn w:val="Normal"/>
    <w:link w:val="BalloonTextChar"/>
    <w:rsid w:val="003B0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B00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0DA5"/>
  </w:style>
  <w:style w:type="character" w:customStyle="1" w:styleId="citation-abbreviation">
    <w:name w:val="citation-abbreviation"/>
    <w:basedOn w:val="DefaultParagraphFont"/>
    <w:rsid w:val="003E4E66"/>
  </w:style>
  <w:style w:type="character" w:customStyle="1" w:styleId="citation-publication-date">
    <w:name w:val="citation-publication-date"/>
    <w:basedOn w:val="DefaultParagraphFont"/>
    <w:rsid w:val="003E4E66"/>
  </w:style>
  <w:style w:type="character" w:customStyle="1" w:styleId="citation-volume">
    <w:name w:val="citation-volume"/>
    <w:basedOn w:val="DefaultParagraphFont"/>
    <w:rsid w:val="003E4E66"/>
  </w:style>
  <w:style w:type="character" w:customStyle="1" w:styleId="citation-issue">
    <w:name w:val="citation-issue"/>
    <w:basedOn w:val="DefaultParagraphFont"/>
    <w:rsid w:val="003E4E66"/>
  </w:style>
  <w:style w:type="character" w:customStyle="1" w:styleId="citation-flpages">
    <w:name w:val="citation-flpages"/>
    <w:basedOn w:val="DefaultParagraphFont"/>
    <w:rsid w:val="003E4E66"/>
  </w:style>
  <w:style w:type="character" w:customStyle="1" w:styleId="fm-citation-ids-label">
    <w:name w:val="fm-citation-ids-label"/>
    <w:basedOn w:val="DefaultParagraphFont"/>
    <w:rsid w:val="003E4E66"/>
  </w:style>
  <w:style w:type="character" w:customStyle="1" w:styleId="Heading2Char">
    <w:name w:val="Heading 2 Char"/>
    <w:link w:val="Heading2"/>
    <w:semiHidden/>
    <w:rsid w:val="00996D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96D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73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6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63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Application%20Data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Geneva University</Company>
  <LinksUpToDate>false</LinksUpToDate>
  <CharactersWithSpaces>4834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mailto:L.vanhanswijck@gmail.com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adam</dc:creator>
  <cp:keywords/>
  <cp:lastModifiedBy>laurence van Hanswijck de Jonge</cp:lastModifiedBy>
  <cp:revision>2</cp:revision>
  <cp:lastPrinted>2011-09-08T13:55:00Z</cp:lastPrinted>
  <dcterms:created xsi:type="dcterms:W3CDTF">2015-09-22T08:51:00Z</dcterms:created>
  <dcterms:modified xsi:type="dcterms:W3CDTF">2015-09-22T08:51:00Z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